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D35B" w14:textId="3DEFC554" w:rsidR="00373537" w:rsidRDefault="00C73F71">
      <w:pPr>
        <w:rPr>
          <w:rFonts w:eastAsia="Times New Roman" w:cstheme="minorHAnsi"/>
          <w:b/>
          <w:bCs/>
          <w:iCs/>
          <w:noProof/>
          <w:kern w:val="0"/>
          <w:sz w:val="20"/>
          <w:szCs w:val="20"/>
          <w:lang w:eastAsia="tr-TR"/>
          <w14:ligatures w14:val="none"/>
        </w:rPr>
      </w:pPr>
      <w:r>
        <w:rPr>
          <w:rFonts w:eastAsia="Times New Roman" w:cstheme="minorHAnsi"/>
          <w:b/>
          <w:bCs/>
          <w:iCs/>
          <w:noProof/>
          <w:kern w:val="0"/>
          <w:sz w:val="20"/>
          <w:szCs w:val="20"/>
          <w:lang w:eastAsia="tr-TR"/>
          <w14:ligatures w14:val="none"/>
        </w:rPr>
        <w:t xml:space="preserve">                                                        </w:t>
      </w:r>
      <w:r>
        <w:rPr>
          <w:rFonts w:eastAsia="Times New Roman" w:cstheme="minorHAnsi"/>
          <w:b/>
          <w:bCs/>
          <w:iCs/>
          <w:noProof/>
          <w:kern w:val="0"/>
          <w:sz w:val="20"/>
          <w:szCs w:val="20"/>
          <w:lang w:eastAsia="tr-TR"/>
          <w14:ligatures w14:val="none"/>
        </w:rPr>
        <w:drawing>
          <wp:inline distT="0" distB="0" distL="0" distR="0" wp14:anchorId="5906DF7F" wp14:editId="357EF392">
            <wp:extent cx="2118360" cy="754380"/>
            <wp:effectExtent l="0" t="0" r="0" b="7620"/>
            <wp:docPr id="159996466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p w14:paraId="5BA2069B" w14:textId="77777777" w:rsidR="00C73F71" w:rsidRDefault="00C73F71">
      <w:pPr>
        <w:rPr>
          <w:rFonts w:eastAsia="Times New Roman" w:cstheme="minorHAnsi"/>
          <w:b/>
          <w:bCs/>
          <w:iCs/>
          <w:noProof/>
          <w:kern w:val="0"/>
          <w:sz w:val="20"/>
          <w:szCs w:val="20"/>
          <w:lang w:eastAsia="tr-TR"/>
          <w14:ligatures w14:val="none"/>
        </w:rPr>
      </w:pPr>
    </w:p>
    <w:p w14:paraId="611A4BD0" w14:textId="666EAA8C" w:rsidR="00C73F71" w:rsidRPr="00C73F71" w:rsidRDefault="00C73F71">
      <w:pPr>
        <w:rPr>
          <w:rFonts w:eastAsia="Times New Roman" w:cstheme="minorHAnsi"/>
          <w:b/>
          <w:bCs/>
          <w:iCs/>
          <w:noProof/>
          <w:kern w:val="0"/>
          <w:sz w:val="20"/>
          <w:szCs w:val="20"/>
          <w:u w:val="single"/>
          <w:lang w:eastAsia="tr-TR"/>
          <w14:ligatures w14:val="none"/>
        </w:rPr>
      </w:pPr>
      <w:r w:rsidRPr="00C73F71">
        <w:rPr>
          <w:rFonts w:eastAsia="Times New Roman" w:cstheme="minorHAnsi"/>
          <w:b/>
          <w:bCs/>
          <w:iCs/>
          <w:noProof/>
          <w:kern w:val="0"/>
          <w:sz w:val="20"/>
          <w:szCs w:val="20"/>
          <w:u w:val="single"/>
          <w:lang w:eastAsia="tr-TR"/>
          <w14:ligatures w14:val="none"/>
        </w:rPr>
        <w:t xml:space="preserve">Basın bülteni                                                                                                              </w:t>
      </w:r>
      <w:r w:rsidR="00CE0B2A">
        <w:rPr>
          <w:rFonts w:eastAsia="Times New Roman" w:cstheme="minorHAnsi"/>
          <w:b/>
          <w:bCs/>
          <w:iCs/>
          <w:noProof/>
          <w:kern w:val="0"/>
          <w:sz w:val="20"/>
          <w:szCs w:val="20"/>
          <w:u w:val="single"/>
          <w:lang w:eastAsia="tr-TR"/>
          <w14:ligatures w14:val="none"/>
        </w:rPr>
        <w:t xml:space="preserve">                              </w:t>
      </w:r>
      <w:r w:rsidR="00551FAC">
        <w:rPr>
          <w:rFonts w:eastAsia="Times New Roman" w:cstheme="minorHAnsi"/>
          <w:b/>
          <w:bCs/>
          <w:iCs/>
          <w:noProof/>
          <w:kern w:val="0"/>
          <w:sz w:val="20"/>
          <w:szCs w:val="20"/>
          <w:u w:val="single"/>
          <w:lang w:eastAsia="tr-TR"/>
          <w14:ligatures w14:val="none"/>
        </w:rPr>
        <w:t>16</w:t>
      </w:r>
      <w:r w:rsidRPr="00C73F71">
        <w:rPr>
          <w:rFonts w:eastAsia="Times New Roman" w:cstheme="minorHAnsi"/>
          <w:b/>
          <w:bCs/>
          <w:iCs/>
          <w:noProof/>
          <w:kern w:val="0"/>
          <w:sz w:val="20"/>
          <w:szCs w:val="20"/>
          <w:u w:val="single"/>
          <w:lang w:eastAsia="tr-TR"/>
          <w14:ligatures w14:val="none"/>
        </w:rPr>
        <w:t>.09.2025</w:t>
      </w:r>
    </w:p>
    <w:p w14:paraId="59521C69" w14:textId="77777777" w:rsidR="00C73F71" w:rsidRDefault="00C73F71">
      <w:pPr>
        <w:rPr>
          <w:u w:val="single"/>
        </w:rPr>
      </w:pPr>
    </w:p>
    <w:p w14:paraId="5890B59E" w14:textId="73CBA0B5" w:rsidR="008D20D1" w:rsidRPr="00CA68CD" w:rsidRDefault="008D20D1" w:rsidP="00CA68CD">
      <w:pPr>
        <w:jc w:val="center"/>
        <w:rPr>
          <w:b/>
          <w:bCs/>
          <w:sz w:val="24"/>
          <w:szCs w:val="24"/>
        </w:rPr>
      </w:pPr>
      <w:r w:rsidRPr="00CA68CD">
        <w:rPr>
          <w:b/>
          <w:bCs/>
          <w:sz w:val="24"/>
          <w:szCs w:val="24"/>
        </w:rPr>
        <w:t>D</w:t>
      </w:r>
      <w:r w:rsidR="00D75FA8">
        <w:rPr>
          <w:b/>
          <w:bCs/>
          <w:sz w:val="24"/>
          <w:szCs w:val="24"/>
        </w:rPr>
        <w:t>OF</w:t>
      </w:r>
      <w:r w:rsidR="00D512C9">
        <w:rPr>
          <w:b/>
          <w:bCs/>
          <w:sz w:val="24"/>
          <w:szCs w:val="24"/>
        </w:rPr>
        <w:t xml:space="preserve"> Robotics</w:t>
      </w:r>
      <w:r w:rsidRPr="00CA68CD">
        <w:rPr>
          <w:b/>
          <w:bCs/>
          <w:sz w:val="24"/>
          <w:szCs w:val="24"/>
        </w:rPr>
        <w:t>, Turkishtime Ar-Ge Ödülleri’nde büyük başarıya imza attı</w:t>
      </w:r>
    </w:p>
    <w:p w14:paraId="6A3AD9A2" w14:textId="0E9E54F5" w:rsidR="00C0355B" w:rsidRPr="00CA68CD" w:rsidRDefault="00CA68CD" w:rsidP="00CA68CD">
      <w:pPr>
        <w:jc w:val="center"/>
        <w:rPr>
          <w:b/>
          <w:bCs/>
          <w:sz w:val="32"/>
          <w:szCs w:val="32"/>
        </w:rPr>
      </w:pPr>
      <w:r w:rsidRPr="00CA68CD">
        <w:rPr>
          <w:b/>
          <w:bCs/>
          <w:sz w:val="32"/>
          <w:szCs w:val="32"/>
        </w:rPr>
        <w:t>Ar-Ge’ye En Fazla Harcama Yapan İlk 10 Şirket Arasında 5’inci Oldu</w:t>
      </w:r>
    </w:p>
    <w:p w14:paraId="4FDDE904" w14:textId="34465A0F" w:rsidR="00C0355B" w:rsidRPr="00CE0B2A" w:rsidRDefault="00CA68CD" w:rsidP="00CE0B2A">
      <w:pPr>
        <w:jc w:val="center"/>
        <w:rPr>
          <w:b/>
          <w:bCs/>
        </w:rPr>
      </w:pPr>
      <w:r>
        <w:rPr>
          <w:rFonts w:cstheme="minorHAnsi"/>
          <w:b/>
          <w:bCs/>
        </w:rPr>
        <w:t>S</w:t>
      </w:r>
      <w:r w:rsidR="008D20D1" w:rsidRPr="00CA68CD">
        <w:rPr>
          <w:rFonts w:cstheme="minorHAnsi"/>
          <w:b/>
          <w:bCs/>
        </w:rPr>
        <w:t>anayi, eğitim, eğlence ve savunma sanayi gibi endüstrilerde yeni nesil teknolojilerle entegre geliştirdiği inovatif ürünlerle yaklaşık 19 yıllık deneyime s</w:t>
      </w:r>
      <w:r w:rsidR="00D512C9">
        <w:rPr>
          <w:rFonts w:cstheme="minorHAnsi"/>
          <w:b/>
          <w:bCs/>
        </w:rPr>
        <w:t>ahip olan DOF Robotics</w:t>
      </w:r>
      <w:r>
        <w:rPr>
          <w:rFonts w:cstheme="minorHAnsi"/>
          <w:b/>
          <w:bCs/>
        </w:rPr>
        <w:t xml:space="preserve">, Turkishtime Ar-Ge Ödülleri’nde </w:t>
      </w:r>
      <w:r w:rsidR="00D75FA8">
        <w:t>‘</w:t>
      </w:r>
      <w:r w:rsidRPr="00CA68CD">
        <w:rPr>
          <w:b/>
          <w:bCs/>
        </w:rPr>
        <w:t>Makine ve Aksamları Sektöründe Ar-Ge’ye En Fazla Harcama Yapan İlk 10 Şirket</w:t>
      </w:r>
      <w:r w:rsidR="00D75FA8">
        <w:rPr>
          <w:b/>
          <w:bCs/>
        </w:rPr>
        <w:t>’</w:t>
      </w:r>
      <w:r w:rsidRPr="00CA68CD">
        <w:rPr>
          <w:b/>
          <w:bCs/>
        </w:rPr>
        <w:t xml:space="preserve"> </w:t>
      </w:r>
      <w:r w:rsidR="00161EFC">
        <w:rPr>
          <w:b/>
          <w:bCs/>
        </w:rPr>
        <w:t xml:space="preserve">arasına girdi. </w:t>
      </w:r>
    </w:p>
    <w:p w14:paraId="5A3DAB08" w14:textId="145FDA46" w:rsidR="00C73F71" w:rsidRDefault="00C0355B">
      <w:r w:rsidRPr="00C0355B">
        <w:t>Robotik sanayi, yüksek teknolojili ürünler ve eğitici-öğretici projeler üreterek devrim yaratan yeniliklere imza atan, uluslararası ve Türkiye genelinde çok sayıda prestijli ödülün sahibi DOF R</w:t>
      </w:r>
      <w:r w:rsidR="00D512C9">
        <w:t xml:space="preserve">obotics </w:t>
      </w:r>
      <w:r>
        <w:t xml:space="preserve">inovasyon alanındaki gücünü aldığı yeni ödüller ile tescillemeye devam ediyor. Turkishtime Ar-Ge 2024 Ödülleri’nde, </w:t>
      </w:r>
      <w:r w:rsidR="00D75FA8">
        <w:t>‘</w:t>
      </w:r>
      <w:r>
        <w:t>Makine ve Aksamları Sektöründe Ar-Ge’ye En Fazla Harcama Yapan İlk 10 Şirket</w:t>
      </w:r>
      <w:r w:rsidR="00D75FA8">
        <w:t>’</w:t>
      </w:r>
      <w:r>
        <w:t xml:space="preserve"> arasında, </w:t>
      </w:r>
      <w:r w:rsidRPr="00C0355B">
        <w:t>141 milyon 596 bin 472 TL'lik harcama ile beşinci sıraya yerle</w:t>
      </w:r>
      <w:r>
        <w:t xml:space="preserve">şmeyi başardı. </w:t>
      </w:r>
    </w:p>
    <w:p w14:paraId="084C2FF0" w14:textId="4E4EE02D" w:rsidR="00C0355B" w:rsidRPr="00716ACA" w:rsidRDefault="00C0355B" w:rsidP="00C0355B">
      <w:pPr>
        <w:tabs>
          <w:tab w:val="left" w:pos="567"/>
          <w:tab w:val="left" w:pos="709"/>
        </w:tabs>
        <w:spacing w:after="120" w:line="240" w:lineRule="auto"/>
        <w:jc w:val="both"/>
        <w:rPr>
          <w:rFonts w:cstheme="minorHAnsi"/>
        </w:rPr>
      </w:pPr>
      <w:r w:rsidRPr="00716ACA">
        <w:rPr>
          <w:rFonts w:eastAsia="Times New Roman" w:cstheme="minorHAnsi"/>
          <w:color w:val="000000"/>
          <w:kern w:val="0"/>
          <w:lang w:eastAsia="ar-SA"/>
          <w14:ligatures w14:val="none"/>
        </w:rPr>
        <w:t>DOF Roboti</w:t>
      </w:r>
      <w:r w:rsidR="00D512C9">
        <w:rPr>
          <w:rFonts w:eastAsia="Times New Roman" w:cstheme="minorHAnsi"/>
          <w:color w:val="000000"/>
          <w:kern w:val="0"/>
          <w:lang w:eastAsia="ar-SA"/>
          <w14:ligatures w14:val="none"/>
        </w:rPr>
        <w:t>cs</w:t>
      </w:r>
      <w:r w:rsidRPr="00716ACA">
        <w:rPr>
          <w:rFonts w:eastAsia="Times New Roman" w:cstheme="minorHAnsi"/>
          <w:color w:val="000000"/>
          <w:kern w:val="0"/>
          <w:lang w:eastAsia="ar-SA"/>
          <w14:ligatures w14:val="none"/>
        </w:rPr>
        <w:t xml:space="preserve">, otonom robot sistemleriyle entegre hareket simülatörleri ve dijital deneyim teknolojileriyle küresel ölçekte dikkat çeken bir teknoloji şirketi olarak, dünyanın 6 kıtasında 60’tan fazla ülkeye ihracat yaparken </w:t>
      </w:r>
      <w:r w:rsidRPr="00716ACA">
        <w:rPr>
          <w:rFonts w:cstheme="minorHAnsi"/>
        </w:rPr>
        <w:t xml:space="preserve">ABD ve Çin başta olmak üzere, Universal Studios, Marvel ve Warner Bros gibi dünyanın en çok ziyaret edilen tema parklarına ürünler geliştiriyor. Ayrıca Angry Birds, Monster Jam, Transformers ve Smurfs gibi ünlü markalarla da iş birliği yapan şirket, özel efektlerle güçlendirilmiş, sanal gerçekçi ortamlar, içerikler ve oyunlar geliştiriyor. </w:t>
      </w:r>
    </w:p>
    <w:p w14:paraId="7B898822" w14:textId="76DAA9F4" w:rsidR="00CE187D" w:rsidRPr="00CE187D" w:rsidRDefault="00D512C9">
      <w:pPr>
        <w:rPr>
          <w:rFonts w:cstheme="minorHAnsi"/>
        </w:rPr>
      </w:pPr>
      <w:r>
        <w:rPr>
          <w:rFonts w:cstheme="minorHAnsi"/>
        </w:rPr>
        <w:t>DOF Robotics</w:t>
      </w:r>
      <w:r w:rsidR="00CE187D" w:rsidRPr="00CE187D">
        <w:rPr>
          <w:rFonts w:cstheme="minorHAnsi"/>
        </w:rPr>
        <w:t xml:space="preserve"> olarak kuruluşlarından bugüne kadar şirketlerinin hem yerel hem uluslararası pazarlardaki rekabet güçleri açısından Ar-Ge yatırımlarına büyük önem verdiklerini </w:t>
      </w:r>
      <w:r w:rsidR="00CE187D" w:rsidRPr="00D75FA8">
        <w:rPr>
          <w:rFonts w:cstheme="minorHAnsi"/>
        </w:rPr>
        <w:t xml:space="preserve">belirten </w:t>
      </w:r>
      <w:r>
        <w:rPr>
          <w:rFonts w:cstheme="minorHAnsi"/>
          <w:b/>
          <w:bCs/>
        </w:rPr>
        <w:t xml:space="preserve">DOF Robotics </w:t>
      </w:r>
      <w:r w:rsidR="00CE187D" w:rsidRPr="00CE187D">
        <w:rPr>
          <w:rFonts w:cstheme="minorHAnsi"/>
          <w:b/>
          <w:bCs/>
        </w:rPr>
        <w:t>Yönetim Kurulu Başkanı Mustafa Mertcan,</w:t>
      </w:r>
      <w:r w:rsidR="00CE187D" w:rsidRPr="00CE187D">
        <w:rPr>
          <w:rFonts w:cstheme="minorHAnsi"/>
        </w:rPr>
        <w:t xml:space="preserve"> “Turkishtime tarafından verilen Ar-Ge Ödüller</w:t>
      </w:r>
      <w:r w:rsidR="00CE187D">
        <w:rPr>
          <w:rFonts w:cstheme="minorHAnsi"/>
        </w:rPr>
        <w:t>i</w:t>
      </w:r>
      <w:r w:rsidR="008605C4">
        <w:rPr>
          <w:rFonts w:cstheme="minorHAnsi"/>
        </w:rPr>
        <w:t xml:space="preserve"> ‘Makine ve Aksamları Sektöründe Ar-Ge’ye En Fazla Harcama Yapan İlk 10 Şirket</w:t>
      </w:r>
      <w:r w:rsidR="00BA3CCA">
        <w:rPr>
          <w:rFonts w:cstheme="minorHAnsi"/>
        </w:rPr>
        <w:t xml:space="preserve">’ arasında yer almamız, inovasyon gücümüzün ve bu alanda yaptığımız yatırımların büyüklüğünün önemli bir göstergesidir. Turkishtime Ar-Ge Ödülleri, </w:t>
      </w:r>
      <w:r w:rsidR="00CE187D">
        <w:rPr>
          <w:rFonts w:cstheme="minorHAnsi"/>
        </w:rPr>
        <w:t xml:space="preserve">Türkiye’nin en yenilikçi şirketlerini öne çıkararak teknoloji yatırımlarını teşvik etmeyi amaçlıyor. </w:t>
      </w:r>
      <w:r w:rsidR="008605C4">
        <w:rPr>
          <w:rFonts w:cstheme="minorHAnsi"/>
        </w:rPr>
        <w:t>Dolayısıyla</w:t>
      </w:r>
      <w:r w:rsidR="00CE187D">
        <w:rPr>
          <w:rFonts w:cstheme="minorHAnsi"/>
        </w:rPr>
        <w:t xml:space="preserve"> aldığımız bu ödül, şirketimiz açısından oldukça değerli olup e</w:t>
      </w:r>
      <w:r w:rsidR="00CE187D" w:rsidRPr="00CE187D">
        <w:rPr>
          <w:rFonts w:cstheme="minorHAnsi"/>
        </w:rPr>
        <w:t xml:space="preserve">lde ettiğimiz bu başarıdan dolayı </w:t>
      </w:r>
      <w:r w:rsidR="00CE187D">
        <w:rPr>
          <w:rFonts w:cstheme="minorHAnsi"/>
        </w:rPr>
        <w:t xml:space="preserve">ayrıca </w:t>
      </w:r>
      <w:r w:rsidR="00CE187D" w:rsidRPr="00CE187D">
        <w:rPr>
          <w:rFonts w:cstheme="minorHAnsi"/>
        </w:rPr>
        <w:t xml:space="preserve">büyük bir mutluluk ve gurur duyuyoruz. </w:t>
      </w:r>
      <w:r w:rsidR="00BA3CCA">
        <w:rPr>
          <w:rFonts w:cstheme="minorHAnsi"/>
        </w:rPr>
        <w:t xml:space="preserve"> Hedefimiz, geliştireceğimiz yerli teknolojilerle uluslararası pazarlardaki konumumuzu daha da güçlendirmek” diye konuştu. </w:t>
      </w:r>
    </w:p>
    <w:p w14:paraId="60D55F53" w14:textId="17CE6924" w:rsidR="00C0355B" w:rsidRPr="00716ACA" w:rsidRDefault="008D20D1" w:rsidP="00BA3CCA">
      <w:pPr>
        <w:rPr>
          <w:rFonts w:cstheme="minorHAnsi"/>
          <w:b/>
          <w:bCs/>
        </w:rPr>
      </w:pPr>
      <w:r>
        <w:rPr>
          <w:rFonts w:cstheme="minorHAnsi"/>
          <w:b/>
          <w:bCs/>
        </w:rPr>
        <w:t>Tarım sektörünün ihtiyaçlarına yönelik robotlar üretecek</w:t>
      </w:r>
    </w:p>
    <w:p w14:paraId="74B6EB56" w14:textId="413281B6" w:rsidR="00C0355B" w:rsidRPr="00716ACA" w:rsidRDefault="00C0355B" w:rsidP="00C0355B">
      <w:pPr>
        <w:tabs>
          <w:tab w:val="left" w:pos="567"/>
          <w:tab w:val="left" w:pos="709"/>
        </w:tabs>
        <w:spacing w:after="120" w:line="240" w:lineRule="auto"/>
        <w:jc w:val="both"/>
        <w:rPr>
          <w:rFonts w:cstheme="minorHAnsi"/>
        </w:rPr>
      </w:pPr>
      <w:r w:rsidRPr="00716ACA">
        <w:rPr>
          <w:rFonts w:cstheme="minorHAnsi"/>
        </w:rPr>
        <w:t xml:space="preserve">Ar-Ge </w:t>
      </w:r>
      <w:r w:rsidR="00D75FA8">
        <w:rPr>
          <w:rFonts w:cstheme="minorHAnsi"/>
        </w:rPr>
        <w:t xml:space="preserve">alanında </w:t>
      </w:r>
      <w:r w:rsidRPr="00716ACA">
        <w:rPr>
          <w:rFonts w:cstheme="minorHAnsi"/>
        </w:rPr>
        <w:t xml:space="preserve">önümüzdeki döneme ilişkin hedeflerini </w:t>
      </w:r>
      <w:r w:rsidR="00D75FA8">
        <w:rPr>
          <w:rFonts w:cstheme="minorHAnsi"/>
        </w:rPr>
        <w:t>de paylaşan</w:t>
      </w:r>
      <w:r w:rsidRPr="00716ACA">
        <w:rPr>
          <w:rFonts w:cstheme="minorHAnsi"/>
        </w:rPr>
        <w:t xml:space="preserve"> </w:t>
      </w:r>
      <w:r w:rsidRPr="00716ACA">
        <w:rPr>
          <w:rFonts w:cstheme="minorHAnsi"/>
          <w:b/>
          <w:bCs/>
        </w:rPr>
        <w:t>Mertcan</w:t>
      </w:r>
      <w:r w:rsidRPr="00716ACA">
        <w:rPr>
          <w:rFonts w:cstheme="minorHAnsi"/>
        </w:rPr>
        <w:t xml:space="preserve">, </w:t>
      </w:r>
      <w:r w:rsidR="008D20D1">
        <w:rPr>
          <w:rFonts w:cstheme="minorHAnsi"/>
        </w:rPr>
        <w:t>şunları</w:t>
      </w:r>
      <w:r w:rsidR="00D75FA8">
        <w:rPr>
          <w:rFonts w:cstheme="minorHAnsi"/>
        </w:rPr>
        <w:t xml:space="preserve"> </w:t>
      </w:r>
      <w:r w:rsidR="008D20D1">
        <w:rPr>
          <w:rFonts w:cstheme="minorHAnsi"/>
        </w:rPr>
        <w:t xml:space="preserve">söyledi: </w:t>
      </w:r>
      <w:r w:rsidRPr="00716ACA">
        <w:rPr>
          <w:rFonts w:cstheme="minorHAnsi"/>
        </w:rPr>
        <w:t xml:space="preserve"> “Üretim faaliyetleri İSBİ Serbest Bölge’de bulunan 4 bin metrekare kapalı alanda yeni ürün ve proje geliştirmeye yönelik Ar-Ge faaliyetleri kapsamında; konsept geliştirme, test, iş analizi ve ürün geliştirme çalışmalarını yürütüyoruz. Ar-Ge’den çıkan yeni projelerin üretilmesi ve gelecekteki üretim planlamalarının yapılabilmesi için 2026 yılından itibaren başlamak üzere İstanbul Hadımköy’de 3 bin metrekare yeni üretim tesisi için kiralama yapıldı. Bu yeni üretim tesisi ile birlikte kapasitenin 3 katına çıkartılması planlanıyor. Gelecek dönemde şirketimiz tarafından geliştirilen AMR (Otonom Mobil </w:t>
      </w:r>
      <w:r w:rsidRPr="00716ACA">
        <w:rPr>
          <w:rFonts w:cstheme="minorHAnsi"/>
        </w:rPr>
        <w:lastRenderedPageBreak/>
        <w:t>Robot) robotunun tarım ve hizmet sektöründe kullanılması amacıyla Ar-Ge çalışmalarımız sürüyor. Bu konuda ilk aşamada; hizmet sektörüne yönelik AMR uygulamalarının geliştirilmesi, ikinci aşamada; tarım robotlarının tarım sektörünün ihtiyaçlarına yönelik olarak geliştirilmesi sağlanacak. Şirketin satışlarını arttırmak ve daha geniş bir pazar yelpazesine yayılmak için operasyonel kiralama anlaşmaları yaparak müşteri tabanını genişletmeyi planlıyoruz. Operasyonel kiralama modelinin, yeni bir satış kanalı yaratarak satış rakamlarında ve şirket pazar payının arttırılmasında olumlu katkı yaratacağını düşünüyoruz.”</w:t>
      </w:r>
    </w:p>
    <w:p w14:paraId="4E94564B" w14:textId="77777777" w:rsidR="00BA3CCA" w:rsidRPr="00716ACA" w:rsidRDefault="00BA3CCA" w:rsidP="00BA3CCA">
      <w:pPr>
        <w:spacing w:after="0" w:line="240" w:lineRule="auto"/>
        <w:jc w:val="both"/>
        <w:rPr>
          <w:rFonts w:eastAsia="Times New Roman" w:cstheme="minorHAnsi"/>
          <w:b/>
          <w:bCs/>
          <w:kern w:val="0"/>
          <w:lang w:eastAsia="tr-TR"/>
          <w14:ligatures w14:val="none"/>
        </w:rPr>
      </w:pPr>
      <w:r w:rsidRPr="00716ACA">
        <w:rPr>
          <w:rFonts w:eastAsia="Times New Roman" w:cstheme="minorHAnsi"/>
          <w:b/>
          <w:bCs/>
          <w:kern w:val="0"/>
          <w:lang w:eastAsia="tr-TR"/>
          <w14:ligatures w14:val="none"/>
        </w:rPr>
        <w:t>Turquality markası ve Türkiye’de En Hızlı Büyüyen 100 Şirket Arasında</w:t>
      </w:r>
    </w:p>
    <w:p w14:paraId="2BBF5DC7" w14:textId="77777777" w:rsidR="00BA3CCA" w:rsidRPr="00716ACA" w:rsidRDefault="00BA3CCA" w:rsidP="00BA3CCA">
      <w:pPr>
        <w:spacing w:after="0" w:line="240" w:lineRule="auto"/>
        <w:jc w:val="both"/>
        <w:rPr>
          <w:rFonts w:eastAsia="Times New Roman" w:cstheme="minorHAnsi"/>
          <w:b/>
          <w:bCs/>
          <w:kern w:val="0"/>
          <w:lang w:eastAsia="tr-TR"/>
          <w14:ligatures w14:val="none"/>
        </w:rPr>
      </w:pPr>
    </w:p>
    <w:p w14:paraId="677D6FA9" w14:textId="49A6F6F6" w:rsidR="00BA3CCA" w:rsidRPr="00716ACA" w:rsidRDefault="00BA3CCA" w:rsidP="00BA3CCA">
      <w:p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Öte yandan</w:t>
      </w:r>
      <w:r w:rsidRPr="00716ACA">
        <w:rPr>
          <w:rFonts w:eastAsia="Times New Roman" w:cstheme="minorHAnsi"/>
          <w:b/>
          <w:bCs/>
          <w:kern w:val="0"/>
          <w:lang w:eastAsia="tr-TR"/>
          <w14:ligatures w14:val="none"/>
        </w:rPr>
        <w:t xml:space="preserve"> </w:t>
      </w:r>
      <w:r w:rsidRPr="00716ACA">
        <w:rPr>
          <w:rFonts w:eastAsia="Times New Roman" w:cstheme="minorHAnsi"/>
          <w:kern w:val="0"/>
          <w:lang w:eastAsia="tr-TR"/>
          <w14:ligatures w14:val="none"/>
        </w:rPr>
        <w:t xml:space="preserve">Ticaret Bakanlığı tarafından yürütülen, devlet destekli markalaşma programı Turquality markası olan </w:t>
      </w:r>
      <w:r>
        <w:rPr>
          <w:rFonts w:eastAsia="Times New Roman" w:cstheme="minorHAnsi"/>
          <w:kern w:val="0"/>
          <w:lang w:eastAsia="tr-TR"/>
          <w14:ligatures w14:val="none"/>
        </w:rPr>
        <w:t>şirketin</w:t>
      </w:r>
      <w:r w:rsidRPr="00716ACA">
        <w:rPr>
          <w:rFonts w:eastAsia="Times New Roman" w:cstheme="minorHAnsi"/>
          <w:kern w:val="0"/>
          <w:lang w:eastAsia="tr-TR"/>
          <w14:ligatures w14:val="none"/>
        </w:rPr>
        <w:t xml:space="preserve"> yurt dışı ve yurt içinde kazandığı belli başlı ödüller şöyle:</w:t>
      </w:r>
    </w:p>
    <w:p w14:paraId="52319477"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Her yıl ABD’de Orlando şehrinde düzenlenen eğlence fuarlarından olan IAAPA Expo’da 2016, 2022, 2023 ve 2024 yıllarında IAAPA Brass Ring Award ile Golden Pony ve Shining Stars ödülleri.</w:t>
      </w:r>
    </w:p>
    <w:p w14:paraId="53196C8D"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Las Vegas’ta düzenlenen eğlence fuarı CES’te Artırılmış Sanal Gerçeklik kategorisinde İnovasyon Ödülü.</w:t>
      </w:r>
    </w:p>
    <w:p w14:paraId="11663677"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2024 yılında IAAPA Asya ve 2023 Thailand Fuarı’nda IAAPA Brass Ring Best Exhibit kategorisinde birincilik ödülü.</w:t>
      </w:r>
    </w:p>
    <w:p w14:paraId="19443386"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2024 yılında Türkiye İhracatçılar Meclisi tarafından “Inovalig/İnovasyon Stratejisi” ödülü.</w:t>
      </w:r>
    </w:p>
    <w:p w14:paraId="6879494F"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Deloitte tarafından düzenlenen Avrupa, Orta Doğru ve Afrika’daki en hızlı büyüyen teknoloji</w:t>
      </w:r>
    </w:p>
    <w:p w14:paraId="0FFE4D4B" w14:textId="77777777" w:rsidR="00BA3CCA" w:rsidRPr="00716ACA" w:rsidRDefault="00BA3CCA" w:rsidP="00BA3CCA">
      <w:pPr>
        <w:spacing w:after="0" w:line="240" w:lineRule="auto"/>
        <w:ind w:left="708"/>
        <w:jc w:val="both"/>
      </w:pPr>
      <w:r w:rsidRPr="00716ACA">
        <w:rPr>
          <w:rFonts w:eastAsia="Times New Roman" w:cstheme="minorHAnsi"/>
          <w:kern w:val="0"/>
          <w:lang w:eastAsia="tr-TR"/>
          <w14:ligatures w14:val="none"/>
        </w:rPr>
        <w:t xml:space="preserve"> şirketlerinin belirlendiği Deloitte Teknoloji EMEA Fast 500 2024 listesine girdi.</w:t>
      </w:r>
      <w:r w:rsidRPr="00716ACA">
        <w:t xml:space="preserve"> </w:t>
      </w:r>
    </w:p>
    <w:p w14:paraId="29E7F7CF"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2025 yılında Marmara Üniversitesi İşletme Kulübü'nün düzenlediği Kristal Marmara Ödülleri'nde "Yılın En İyi Teknoloji Şirketi" ödülü.</w:t>
      </w:r>
    </w:p>
    <w:p w14:paraId="431A9791"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Türkiye Odalar ve Borsalar Birliği (TOBB)’nden “Türkiye’de En Hızlı Büyüyen 100 Şirket” ödülü.</w:t>
      </w:r>
    </w:p>
    <w:p w14:paraId="6E356792"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Inc. Türkiye’nin düzenlediği Türkiye’nin en hızlı büyüyen şirketlerinin belirlendiği “Inc. Türkiye 100” ödülü.</w:t>
      </w:r>
    </w:p>
    <w:p w14:paraId="11D33A56" w14:textId="77777777" w:rsidR="00BA3CCA" w:rsidRPr="00716ACA" w:rsidRDefault="00BA3CCA" w:rsidP="00BA3CCA">
      <w:pPr>
        <w:pStyle w:val="ListParagraph"/>
        <w:numPr>
          <w:ilvl w:val="0"/>
          <w:numId w:val="1"/>
        </w:numPr>
        <w:spacing w:after="0" w:line="240" w:lineRule="auto"/>
        <w:jc w:val="both"/>
        <w:rPr>
          <w:rFonts w:eastAsia="Times New Roman" w:cstheme="minorHAnsi"/>
          <w:kern w:val="0"/>
          <w:lang w:eastAsia="tr-TR"/>
          <w14:ligatures w14:val="none"/>
        </w:rPr>
      </w:pPr>
      <w:r w:rsidRPr="00716ACA">
        <w:rPr>
          <w:rFonts w:eastAsia="Times New Roman" w:cstheme="minorHAnsi"/>
          <w:kern w:val="0"/>
          <w:lang w:eastAsia="tr-TR"/>
          <w14:ligatures w14:val="none"/>
        </w:rPr>
        <w:t>TÜBİTAK'ın düzenlediği BİGG Spor Ödülleri'nde, “Sanal Gerçeklik Teknolojisi Destekli Bisiklet Simülatörü ve Spor İçeriğinin Geliştirilmesi” ödülü.</w:t>
      </w:r>
    </w:p>
    <w:p w14:paraId="6F71B71A" w14:textId="77777777" w:rsidR="00BA3CCA" w:rsidRPr="00716ACA" w:rsidRDefault="00BA3CCA" w:rsidP="00BA3CCA">
      <w:pPr>
        <w:spacing w:after="0" w:line="240" w:lineRule="auto"/>
        <w:jc w:val="both"/>
        <w:rPr>
          <w:rFonts w:eastAsia="Times New Roman" w:cstheme="minorHAnsi"/>
          <w:kern w:val="0"/>
          <w:lang w:eastAsia="tr-TR"/>
          <w14:ligatures w14:val="none"/>
        </w:rPr>
      </w:pPr>
    </w:p>
    <w:p w14:paraId="3C6F2596" w14:textId="2CEB010F" w:rsidR="00373537" w:rsidRDefault="00373537" w:rsidP="00BA3CCA"/>
    <w:sectPr w:rsidR="00373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264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0A"/>
    <w:rsid w:val="00161EFC"/>
    <w:rsid w:val="00277AFD"/>
    <w:rsid w:val="0032020A"/>
    <w:rsid w:val="00373537"/>
    <w:rsid w:val="00551FAC"/>
    <w:rsid w:val="0059595A"/>
    <w:rsid w:val="0064784E"/>
    <w:rsid w:val="006A42C0"/>
    <w:rsid w:val="007E42AB"/>
    <w:rsid w:val="008605C4"/>
    <w:rsid w:val="008D20D1"/>
    <w:rsid w:val="009A256A"/>
    <w:rsid w:val="00BA3CCA"/>
    <w:rsid w:val="00C0355B"/>
    <w:rsid w:val="00C73F71"/>
    <w:rsid w:val="00CA68CD"/>
    <w:rsid w:val="00CE0B2A"/>
    <w:rsid w:val="00CE187D"/>
    <w:rsid w:val="00D512C9"/>
    <w:rsid w:val="00D75FA8"/>
    <w:rsid w:val="00D94F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E3E3"/>
  <w15:docId w15:val="{BB87345E-96D7-4E4B-A1C1-26292C80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20A"/>
    <w:rPr>
      <w:rFonts w:eastAsiaTheme="majorEastAsia" w:cstheme="majorBidi"/>
      <w:color w:val="272727" w:themeColor="text1" w:themeTint="D8"/>
    </w:rPr>
  </w:style>
  <w:style w:type="paragraph" w:styleId="Title">
    <w:name w:val="Title"/>
    <w:basedOn w:val="Normal"/>
    <w:next w:val="Normal"/>
    <w:link w:val="TitleChar"/>
    <w:uiPriority w:val="10"/>
    <w:qFormat/>
    <w:rsid w:val="00320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20A"/>
    <w:pPr>
      <w:spacing w:before="160"/>
      <w:jc w:val="center"/>
    </w:pPr>
    <w:rPr>
      <w:i/>
      <w:iCs/>
      <w:color w:val="404040" w:themeColor="text1" w:themeTint="BF"/>
    </w:rPr>
  </w:style>
  <w:style w:type="character" w:customStyle="1" w:styleId="QuoteChar">
    <w:name w:val="Quote Char"/>
    <w:basedOn w:val="DefaultParagraphFont"/>
    <w:link w:val="Quote"/>
    <w:uiPriority w:val="29"/>
    <w:rsid w:val="0032020A"/>
    <w:rPr>
      <w:i/>
      <w:iCs/>
      <w:color w:val="404040" w:themeColor="text1" w:themeTint="BF"/>
    </w:rPr>
  </w:style>
  <w:style w:type="paragraph" w:styleId="ListParagraph">
    <w:name w:val="List Paragraph"/>
    <w:basedOn w:val="Normal"/>
    <w:uiPriority w:val="34"/>
    <w:qFormat/>
    <w:rsid w:val="0032020A"/>
    <w:pPr>
      <w:ind w:left="720"/>
      <w:contextualSpacing/>
    </w:pPr>
  </w:style>
  <w:style w:type="character" w:styleId="IntenseEmphasis">
    <w:name w:val="Intense Emphasis"/>
    <w:basedOn w:val="DefaultParagraphFont"/>
    <w:uiPriority w:val="21"/>
    <w:qFormat/>
    <w:rsid w:val="0032020A"/>
    <w:rPr>
      <w:i/>
      <w:iCs/>
      <w:color w:val="2F5496" w:themeColor="accent1" w:themeShade="BF"/>
    </w:rPr>
  </w:style>
  <w:style w:type="paragraph" w:styleId="IntenseQuote">
    <w:name w:val="Intense Quote"/>
    <w:basedOn w:val="Normal"/>
    <w:next w:val="Normal"/>
    <w:link w:val="IntenseQuoteChar"/>
    <w:uiPriority w:val="30"/>
    <w:qFormat/>
    <w:rsid w:val="00320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20A"/>
    <w:rPr>
      <w:i/>
      <w:iCs/>
      <w:color w:val="2F5496" w:themeColor="accent1" w:themeShade="BF"/>
    </w:rPr>
  </w:style>
  <w:style w:type="character" w:styleId="IntenseReference">
    <w:name w:val="Intense Reference"/>
    <w:basedOn w:val="DefaultParagraphFont"/>
    <w:uiPriority w:val="32"/>
    <w:qFormat/>
    <w:rsid w:val="0032020A"/>
    <w:rPr>
      <w:b/>
      <w:bCs/>
      <w:smallCaps/>
      <w:color w:val="2F5496" w:themeColor="accent1" w:themeShade="BF"/>
      <w:spacing w:val="5"/>
    </w:rPr>
  </w:style>
  <w:style w:type="paragraph" w:styleId="BalloonText">
    <w:name w:val="Balloon Text"/>
    <w:basedOn w:val="Normal"/>
    <w:link w:val="BalloonTextChar"/>
    <w:uiPriority w:val="99"/>
    <w:semiHidden/>
    <w:unhideWhenUsed/>
    <w:rsid w:val="00CE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CEYDA TAŞ</cp:lastModifiedBy>
  <cp:revision>2</cp:revision>
  <dcterms:created xsi:type="dcterms:W3CDTF">2025-11-18T07:18:00Z</dcterms:created>
  <dcterms:modified xsi:type="dcterms:W3CDTF">2025-11-18T07:18:00Z</dcterms:modified>
</cp:coreProperties>
</file>