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CD87" w14:textId="77777777" w:rsidR="00F1758A" w:rsidRDefault="00F1758A">
      <w:pPr>
        <w:spacing w:after="240"/>
        <w:rPr>
          <w:b/>
          <w:bCs/>
          <w:sz w:val="28"/>
          <w:szCs w:val="28"/>
        </w:rPr>
      </w:pPr>
    </w:p>
    <w:p w14:paraId="46B9518C" w14:textId="0C587178" w:rsidR="004907E9" w:rsidRDefault="00000000">
      <w:pPr>
        <w:spacing w:after="240"/>
      </w:pPr>
      <w:r>
        <w:rPr>
          <w:b/>
          <w:bCs/>
          <w:sz w:val="28"/>
          <w:szCs w:val="28"/>
        </w:rPr>
        <w:t>Press Release</w:t>
      </w:r>
      <w:r>
        <w:tab/>
      </w:r>
      <w:r>
        <w:tab/>
      </w:r>
      <w:r>
        <w:tab/>
      </w:r>
      <w:r>
        <w:tab/>
      </w:r>
      <w:r>
        <w:tab/>
      </w:r>
      <w:r>
        <w:tab/>
      </w:r>
      <w:r>
        <w:tab/>
      </w:r>
      <w:r>
        <w:tab/>
      </w:r>
      <w:r>
        <w:tab/>
        <w:t xml:space="preserve">                   December 26, 2025</w:t>
      </w:r>
    </w:p>
    <w:p w14:paraId="4E7A3E1A" w14:textId="77777777" w:rsidR="004907E9" w:rsidRDefault="00000000">
      <w:pPr>
        <w:pStyle w:val="Heading1"/>
      </w:pPr>
      <w:r>
        <w:t>DOF Robotics invests $20 million in Cappadocia</w:t>
      </w:r>
    </w:p>
    <w:p w14:paraId="42AD47E8" w14:textId="77777777" w:rsidR="004907E9" w:rsidRDefault="00000000" w:rsidP="00F1758A">
      <w:pPr>
        <w:spacing w:after="200"/>
        <w:jc w:val="both"/>
      </w:pPr>
      <w:r>
        <w:t xml:space="preserve">DOF Robotics, which exports to more than 60 countries across 6 continents worldwide and works with giants such as Universal Studios and Marvel, primarily in the USA and China, and collaborates with world brands such as Angry Birds, Transformers, Monster Jam, and Smurfs, is making a $20 million investment in Cappadocia with the NeoCappadocia project. Stating that they have taken action to bring together advanced technology, live performance, and thematic hospitality under one roof in the region, </w:t>
      </w:r>
      <w:r w:rsidRPr="00F1758A">
        <w:rPr>
          <w:b/>
          <w:bCs/>
        </w:rPr>
        <w:t>DOF Robotics Board Chairman Mustafa Mertcan</w:t>
      </w:r>
      <w:r>
        <w:t xml:space="preserve"> said: "We expect NeoCappadocia, designed to serve 12 months of the year, to host more than 500,000 guests annually."</w:t>
      </w:r>
    </w:p>
    <w:p w14:paraId="0CAC6EAB" w14:textId="77777777" w:rsidR="004907E9" w:rsidRDefault="00000000" w:rsidP="00F1758A">
      <w:pPr>
        <w:spacing w:after="200"/>
        <w:jc w:val="both"/>
      </w:pPr>
      <w:r>
        <w:t>DOF Robotics, one of the world's leading brands in robotic systems, immersive education and entertainment technologies, motion simulators, game and content development, and image interpretation software technologies, has taken action for a giant investment of $20 million in Cappadocia, one of the world's most iconic destinations. The company will bring a new generation, experience-focused entertainment project to the tourism center with NeoCappadocia.</w:t>
      </w:r>
    </w:p>
    <w:p w14:paraId="4E1E525D" w14:textId="77777777" w:rsidR="004907E9" w:rsidRDefault="00000000" w:rsidP="00F1758A">
      <w:pPr>
        <w:spacing w:after="200"/>
        <w:jc w:val="both"/>
      </w:pPr>
      <w:r>
        <w:t>NeoCappadocia, which will be established in a 5,000 m² indoor area in Avanos, aims to bring together advanced technology, live performance, and thematic hospitality under one roof. Within NeoCappadocia, there will be a Fly Over Cappadocia / Turkey-themed flying theatre, a balloon simulator, a fully themed restaurant, a boutique themed hotel consisting of concept rooms, and live show experiences where technology, aesthetics, and storytelling merge. Designed to serve 12 months of the year, NeoCappadocia aims to bring sustainable momentum to regional tourism and make Turkey one of the global centers of experience, technology, and innovation tourism.</w:t>
      </w:r>
    </w:p>
    <w:p w14:paraId="7C4A951F" w14:textId="77777777" w:rsidR="004907E9" w:rsidRDefault="00000000" w:rsidP="00F1758A">
      <w:pPr>
        <w:spacing w:after="120"/>
        <w:jc w:val="both"/>
      </w:pPr>
      <w:r>
        <w:rPr>
          <w:b/>
          <w:bCs/>
        </w:rPr>
        <w:t>More than 500,000 guests targeted annually</w:t>
      </w:r>
    </w:p>
    <w:p w14:paraId="5447B036" w14:textId="77777777" w:rsidR="004907E9" w:rsidRDefault="00000000" w:rsidP="00F1758A">
      <w:pPr>
        <w:spacing w:after="200"/>
        <w:jc w:val="both"/>
      </w:pPr>
      <w:r>
        <w:t>Making an evaluation regarding the investment, DOF Robotics Board Chairman Mustafa Mertcan said: "We are positioning Cappadocia as a new experience universe where technology, storytelling, and emotional experience are intertwined, beyond its unique natural heritage. With NeoCappadocia, we are adding a new and strong reason to visit Cappadocia, which always ranks at the top of the lists of nature and culture tourism enthusiasts. With its launch, we aim to host more than 500,000 visitors annually, spreading Cappadocia's attraction to all four seasons. NeoCappadocia, one of the world's first examples in the field of experience tourism, is also of strategic importance as a project that carries Turkey's creative technology power to the global stage."</w:t>
      </w:r>
    </w:p>
    <w:p w14:paraId="5D3FDB50" w14:textId="77777777" w:rsidR="004907E9" w:rsidRDefault="00000000" w:rsidP="00F1758A">
      <w:pPr>
        <w:spacing w:after="120"/>
        <w:jc w:val="both"/>
      </w:pPr>
      <w:r>
        <w:rPr>
          <w:b/>
          <w:bCs/>
        </w:rPr>
        <w:t>"We will position Turkey as a high-tech experience country"</w:t>
      </w:r>
    </w:p>
    <w:p w14:paraId="71C4A7B7" w14:textId="77777777" w:rsidR="00F1758A" w:rsidRDefault="00F1758A" w:rsidP="00F1758A">
      <w:pPr>
        <w:spacing w:after="200"/>
        <w:jc w:val="both"/>
      </w:pPr>
    </w:p>
    <w:p w14:paraId="75CD61C7" w14:textId="63488FE1" w:rsidR="004907E9" w:rsidRDefault="00000000" w:rsidP="00F1758A">
      <w:pPr>
        <w:spacing w:after="200"/>
        <w:jc w:val="both"/>
      </w:pPr>
      <w:r>
        <w:t>Stating that similar projects to be implemented in Cappadocia are targeted to be implemented in Istanbul and Antalya, Mustafa Mertcan said: "With our strong engineering infrastructure, R&amp;D-focused growth vision, and global perspective, we contribute to Turkey being positioned as a high-tech producing and exporting experience country, in addition to being a tourism destination. With these projects, we aim to permanently elevate the brand value of Turkish engineering, creativity, and innovation capability on the world stage."</w:t>
      </w:r>
    </w:p>
    <w:sectPr w:rsidR="004907E9">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497F" w14:textId="77777777" w:rsidR="00E37D64" w:rsidRDefault="00E37D64" w:rsidP="00F1758A">
      <w:r>
        <w:separator/>
      </w:r>
    </w:p>
  </w:endnote>
  <w:endnote w:type="continuationSeparator" w:id="0">
    <w:p w14:paraId="1D0147F4" w14:textId="77777777" w:rsidR="00E37D64" w:rsidRDefault="00E37D64" w:rsidP="00F1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BF18" w14:textId="77777777" w:rsidR="00E37D64" w:rsidRDefault="00E37D64" w:rsidP="00F1758A">
      <w:r>
        <w:separator/>
      </w:r>
    </w:p>
  </w:footnote>
  <w:footnote w:type="continuationSeparator" w:id="0">
    <w:p w14:paraId="6B6BD774" w14:textId="77777777" w:rsidR="00E37D64" w:rsidRDefault="00E37D64" w:rsidP="00F1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CE36" w14:textId="56FE2DA9" w:rsidR="00F1758A" w:rsidRDefault="00F1758A" w:rsidP="00F1758A">
    <w:pPr>
      <w:pStyle w:val="Header"/>
      <w:jc w:val="center"/>
    </w:pPr>
    <w:r>
      <w:rPr>
        <w:rFonts w:eastAsia="Times New Roman" w:cstheme="minorHAnsi"/>
        <w:b/>
        <w:bCs/>
        <w:iCs/>
        <w:noProof/>
        <w:sz w:val="20"/>
        <w:szCs w:val="20"/>
        <w:lang w:eastAsia="tr-TR"/>
      </w:rPr>
      <w:drawing>
        <wp:inline distT="0" distB="0" distL="0" distR="0" wp14:anchorId="702A84BB" wp14:editId="4CE51B63">
          <wp:extent cx="2657281" cy="946298"/>
          <wp:effectExtent l="0" t="0" r="0" b="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4958" cy="952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7D8"/>
    <w:multiLevelType w:val="hybridMultilevel"/>
    <w:tmpl w:val="51C6A852"/>
    <w:lvl w:ilvl="0" w:tplc="E4ECF740">
      <w:start w:val="1"/>
      <w:numFmt w:val="bullet"/>
      <w:lvlText w:val="●"/>
      <w:lvlJc w:val="left"/>
      <w:pPr>
        <w:ind w:left="720" w:hanging="360"/>
      </w:pPr>
    </w:lvl>
    <w:lvl w:ilvl="1" w:tplc="03D2D7C4">
      <w:start w:val="1"/>
      <w:numFmt w:val="bullet"/>
      <w:lvlText w:val="○"/>
      <w:lvlJc w:val="left"/>
      <w:pPr>
        <w:ind w:left="1440" w:hanging="360"/>
      </w:pPr>
    </w:lvl>
    <w:lvl w:ilvl="2" w:tplc="28BADFDC">
      <w:start w:val="1"/>
      <w:numFmt w:val="bullet"/>
      <w:lvlText w:val="■"/>
      <w:lvlJc w:val="left"/>
      <w:pPr>
        <w:ind w:left="2160" w:hanging="360"/>
      </w:pPr>
    </w:lvl>
    <w:lvl w:ilvl="3" w:tplc="BEB0D8EC">
      <w:start w:val="1"/>
      <w:numFmt w:val="bullet"/>
      <w:lvlText w:val="●"/>
      <w:lvlJc w:val="left"/>
      <w:pPr>
        <w:ind w:left="2880" w:hanging="360"/>
      </w:pPr>
    </w:lvl>
    <w:lvl w:ilvl="4" w:tplc="76DC6DBC">
      <w:start w:val="1"/>
      <w:numFmt w:val="bullet"/>
      <w:lvlText w:val="○"/>
      <w:lvlJc w:val="left"/>
      <w:pPr>
        <w:ind w:left="3600" w:hanging="360"/>
      </w:pPr>
    </w:lvl>
    <w:lvl w:ilvl="5" w:tplc="65420166">
      <w:start w:val="1"/>
      <w:numFmt w:val="bullet"/>
      <w:lvlText w:val="■"/>
      <w:lvlJc w:val="left"/>
      <w:pPr>
        <w:ind w:left="4320" w:hanging="360"/>
      </w:pPr>
    </w:lvl>
    <w:lvl w:ilvl="6" w:tplc="F19466A8">
      <w:start w:val="1"/>
      <w:numFmt w:val="bullet"/>
      <w:lvlText w:val="●"/>
      <w:lvlJc w:val="left"/>
      <w:pPr>
        <w:ind w:left="5040" w:hanging="360"/>
      </w:pPr>
    </w:lvl>
    <w:lvl w:ilvl="7" w:tplc="CA0A571E">
      <w:start w:val="1"/>
      <w:numFmt w:val="bullet"/>
      <w:lvlText w:val="●"/>
      <w:lvlJc w:val="left"/>
      <w:pPr>
        <w:ind w:left="5760" w:hanging="360"/>
      </w:pPr>
    </w:lvl>
    <w:lvl w:ilvl="8" w:tplc="91FE5384">
      <w:start w:val="1"/>
      <w:numFmt w:val="bullet"/>
      <w:lvlText w:val="●"/>
      <w:lvlJc w:val="left"/>
      <w:pPr>
        <w:ind w:left="6480" w:hanging="360"/>
      </w:pPr>
    </w:lvl>
  </w:abstractNum>
  <w:num w:numId="1" w16cid:durableId="1636570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E9"/>
    <w:rsid w:val="004907E9"/>
    <w:rsid w:val="00774CE8"/>
    <w:rsid w:val="00E37D64"/>
    <w:rsid w:val="00F1758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B1C95E2"/>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58A"/>
    <w:pPr>
      <w:tabs>
        <w:tab w:val="center" w:pos="4680"/>
        <w:tab w:val="right" w:pos="9360"/>
      </w:tabs>
    </w:pPr>
  </w:style>
  <w:style w:type="character" w:customStyle="1" w:styleId="HeaderChar">
    <w:name w:val="Header Char"/>
    <w:basedOn w:val="DefaultParagraphFont"/>
    <w:link w:val="Header"/>
    <w:uiPriority w:val="99"/>
    <w:rsid w:val="00F1758A"/>
  </w:style>
  <w:style w:type="paragraph" w:styleId="Footer">
    <w:name w:val="footer"/>
    <w:basedOn w:val="Normal"/>
    <w:link w:val="FooterChar"/>
    <w:uiPriority w:val="99"/>
    <w:unhideWhenUsed/>
    <w:rsid w:val="00F1758A"/>
    <w:pPr>
      <w:tabs>
        <w:tab w:val="center" w:pos="4680"/>
        <w:tab w:val="right" w:pos="9360"/>
      </w:tabs>
    </w:pPr>
  </w:style>
  <w:style w:type="character" w:customStyle="1" w:styleId="FooterChar">
    <w:name w:val="Footer Char"/>
    <w:basedOn w:val="DefaultParagraphFont"/>
    <w:link w:val="Footer"/>
    <w:uiPriority w:val="99"/>
    <w:rsid w:val="00F1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2026-02-04T09:22:00Z</dcterms:created>
  <dcterms:modified xsi:type="dcterms:W3CDTF">2026-02-10T08:05:00Z</dcterms:modified>
</cp:coreProperties>
</file>